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ТОО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Formelle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Kazakhstan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Командиров М.В.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порядке обращения подарочных сертификатов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РК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Основные термины: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Эмитент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ТОО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«Mark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Formelle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Kazakhstan».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- документ на предъявителя, удостоверяющий право его Держателя приобрести товары в одном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фирменных магазинов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торговой сети «</w:t>
      </w:r>
      <w:r>
        <w:rPr>
          <w:rFonts w:ascii="Times New Roman" w:hAnsi="Times New Roman" w:cs="Times New Roman"/>
          <w:sz w:val="24"/>
          <w:szCs w:val="24"/>
        </w:rPr>
        <w:t xml:space="preserve"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Formelle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принадлежащих Эмитенту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Фирменные магазины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Владелец - физическое лицо, являющееся владельцем Подарочного сертификата в результате его</w:t>
      </w:r>
      <w:r>
        <w:rPr>
          <w:rFonts w:ascii="Times New Roman" w:hAnsi="Times New Roman" w:cs="Times New Roman"/>
          <w:sz w:val="24"/>
          <w:szCs w:val="24"/>
        </w:rPr>
        <w:t xml:space="preserve"> приобретения у Эмитента,</w:t>
      </w:r>
      <w:r>
        <w:rPr>
          <w:rFonts w:ascii="Times New Roman" w:hAnsi="Times New Roman" w:cs="Times New Roman"/>
          <w:sz w:val="24"/>
          <w:szCs w:val="24"/>
        </w:rPr>
        <w:t xml:space="preserve"> получения от Приобретателя либо иного лица и имеющее право на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Подарочного сертификата </w:t>
      </w:r>
      <w:r>
        <w:rPr>
          <w:rFonts w:ascii="Times New Roman" w:hAnsi="Times New Roman" w:cs="Times New Roman"/>
          <w:sz w:val="24"/>
          <w:szCs w:val="24"/>
        </w:rPr>
        <w:t xml:space="preserve">для оплаты товаров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Фирменных </w:t>
      </w:r>
      <w:r>
        <w:rPr>
          <w:rFonts w:ascii="Times New Roman" w:hAnsi="Times New Roman" w:cs="Times New Roman"/>
          <w:sz w:val="24"/>
          <w:szCs w:val="24"/>
        </w:rPr>
        <w:t xml:space="preserve">магазин</w:t>
      </w:r>
      <w:r>
        <w:rPr>
          <w:rFonts w:ascii="Times New Roman" w:hAnsi="Times New Roman" w:cs="Times New Roman"/>
          <w:sz w:val="24"/>
          <w:szCs w:val="24"/>
        </w:rPr>
        <w:t xml:space="preserve">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Приобретатель - физическое или юридическое лицо, оплатив</w:t>
      </w:r>
      <w:r>
        <w:rPr>
          <w:rFonts w:ascii="Times New Roman" w:hAnsi="Times New Roman" w:cs="Times New Roman"/>
          <w:sz w:val="24"/>
          <w:szCs w:val="24"/>
        </w:rPr>
        <w:t xml:space="preserve">шее </w:t>
      </w:r>
      <w:r>
        <w:rPr>
          <w:rFonts w:ascii="Times New Roman" w:hAnsi="Times New Roman" w:cs="Times New Roman"/>
          <w:sz w:val="24"/>
          <w:szCs w:val="24"/>
        </w:rPr>
        <w:t xml:space="preserve">Эмитенту номинальную стоимость Подарочного сертификата.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- любой товар, имеющийся в наличии в магазине в момент предъявления Подарочного сертификата Владельцем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Номинальная стоимость Подарочного сертификата (номинал) - сумма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тенге</w:t>
      </w:r>
      <w:r>
        <w:rPr>
          <w:rFonts w:ascii="Times New Roman" w:hAnsi="Times New Roman" w:cs="Times New Roman"/>
          <w:sz w:val="24"/>
          <w:szCs w:val="24"/>
        </w:rPr>
        <w:t xml:space="preserve">, указанная в Подарочном сертификате, соответствующая </w:t>
      </w:r>
      <w:r>
        <w:rPr>
          <w:rFonts w:ascii="Times New Roman" w:hAnsi="Times New Roman" w:cs="Times New Roman"/>
          <w:sz w:val="24"/>
          <w:szCs w:val="24"/>
        </w:rPr>
        <w:t xml:space="preserve">сумме, на которую Владелец имеет право использовать Подарочный сертификат в качестве оплаты за приобретаемые товары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Предъявление Подарочного сертификата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>
        <w:rPr>
          <w:rFonts w:ascii="Times New Roman" w:hAnsi="Times New Roman" w:cs="Times New Roman"/>
          <w:sz w:val="24"/>
          <w:szCs w:val="24"/>
        </w:rPr>
        <w:t xml:space="preserve">вручение Подарочного сертификата Владельцем уполномоченному должностному лицу в магазине.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Отоваривание</w:t>
      </w:r>
      <w:r>
        <w:rPr>
          <w:rFonts w:ascii="Times New Roman" w:hAnsi="Times New Roman" w:cs="Times New Roman"/>
          <w:sz w:val="24"/>
          <w:szCs w:val="24"/>
        </w:rPr>
        <w:t xml:space="preserve"> Подарочного сертификата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получение</w:t>
      </w:r>
      <w:r>
        <w:rPr>
          <w:rFonts w:ascii="Times New Roman" w:hAnsi="Times New Roman" w:cs="Times New Roman"/>
          <w:sz w:val="24"/>
          <w:szCs w:val="24"/>
        </w:rPr>
        <w:t xml:space="preserve"> сертификата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в магазине </w:t>
      </w:r>
      <w:bookmarkStart w:id="0" w:name="_Hlk156209613"/>
      <w:r>
        <w:rPr>
          <w:rFonts w:ascii="Times New Roman" w:hAnsi="Times New Roman" w:cs="Times New Roman"/>
          <w:sz w:val="24"/>
          <w:szCs w:val="24"/>
        </w:rPr>
        <w:t xml:space="preserve">в качестве оплаты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условиями, предусмотренными Подарочным сертификатом, а также настоящим Положением,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оваров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выбранных Владельцем в магазине.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Номинальная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одарочного сертификата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умм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зачисления</w:t>
      </w:r>
      <w:r>
        <w:rPr>
          <w:rFonts w:ascii="Times New Roman" w:hAnsi="Times New Roman" w:cs="Times New Roman"/>
          <w:sz w:val="24"/>
          <w:szCs w:val="24"/>
        </w:rPr>
        <w:t xml:space="preserve"> в качестве оплаты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ова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Подарочный сертификат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 следующую информацию: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штрих-код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номинальную стоимость Подарочного сертификата;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Подарочного сертификата;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дату, адрес приобретения Подарочного сертификата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Эмитента (магазина Эмитента), подпись кассира </w:t>
      </w:r>
      <w:r>
        <w:rPr>
          <w:rFonts w:ascii="Times New Roman" w:hAnsi="Times New Roman" w:cs="Times New Roman"/>
          <w:sz w:val="24"/>
          <w:szCs w:val="24"/>
        </w:rPr>
        <w:t xml:space="preserve">в случаях, предусмотренных Положением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ек с информацией о проданном сертификате (номер чека, номинал, дата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случаях, предусмотренных Положением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Фирменных </w:t>
      </w:r>
      <w:r>
        <w:rPr>
          <w:rFonts w:ascii="Times New Roman" w:hAnsi="Times New Roman" w:cs="Times New Roman"/>
          <w:sz w:val="24"/>
          <w:szCs w:val="24"/>
        </w:rPr>
        <w:t xml:space="preserve">магазинах принимаются к оплате следующие виды Подарочных сертификатов в зависимости от условий их приобретения и использования: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Подарочный сертификат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Formelle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приобретения: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Подарочн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 xml:space="preserve"> приобретается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Фирменном </w:t>
      </w:r>
      <w:r>
        <w:rPr>
          <w:rFonts w:ascii="Times New Roman" w:hAnsi="Times New Roman" w:cs="Times New Roman"/>
          <w:sz w:val="24"/>
          <w:szCs w:val="24"/>
        </w:rPr>
        <w:t xml:space="preserve">магазине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Приобретателю </w:t>
      </w:r>
      <w:r>
        <w:rPr>
          <w:rFonts w:ascii="Times New Roman" w:hAnsi="Times New Roman" w:cs="Times New Roman"/>
          <w:sz w:val="24"/>
          <w:szCs w:val="24"/>
        </w:rPr>
        <w:t xml:space="preserve">выдается кассовый чек, который подтверждает факт приобретения Подарочного сертификата и является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неотъемлемой частью, Подарочный сертификат без чека считается недействительным.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использования: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 xml:space="preserve">Фирменных </w:t>
      </w:r>
      <w:r>
        <w:rPr>
          <w:rFonts w:ascii="Times New Roman" w:hAnsi="Times New Roman" w:cs="Times New Roman"/>
          <w:sz w:val="24"/>
          <w:szCs w:val="24"/>
        </w:rPr>
        <w:t xml:space="preserve">магазинов </w:t>
      </w:r>
      <w:bookmarkStart w:id="1" w:name="_Hlk50551843"/>
      <w:r>
        <w:rPr>
          <w:rFonts w:ascii="Times New Roman" w:hAnsi="Times New Roman" w:cs="Times New Roman"/>
          <w:sz w:val="24"/>
          <w:szCs w:val="24"/>
        </w:rPr>
        <w:t xml:space="preserve">такой Подарочный сертификат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>
        <w:rPr>
          <w:rFonts w:ascii="Times New Roman" w:hAnsi="Times New Roman" w:cs="Times New Roman"/>
          <w:sz w:val="24"/>
          <w:szCs w:val="24"/>
        </w:rPr>
        <w:t xml:space="preserve">полному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отовариванию</w:t>
      </w:r>
      <w:r>
        <w:rPr>
          <w:rFonts w:ascii="Times New Roman" w:hAnsi="Times New Roman" w:cs="Times New Roman"/>
          <w:sz w:val="24"/>
          <w:szCs w:val="24"/>
        </w:rPr>
        <w:t xml:space="preserve">. После полного </w:t>
      </w:r>
      <w:r>
        <w:rPr>
          <w:rFonts w:ascii="Times New Roman" w:hAnsi="Times New Roman" w:cs="Times New Roman"/>
          <w:sz w:val="24"/>
          <w:szCs w:val="24"/>
        </w:rPr>
        <w:t xml:space="preserve">отоваривания</w:t>
      </w:r>
      <w:r>
        <w:rPr>
          <w:rFonts w:ascii="Times New Roman" w:hAnsi="Times New Roman" w:cs="Times New Roman"/>
          <w:sz w:val="24"/>
          <w:szCs w:val="24"/>
        </w:rPr>
        <w:t xml:space="preserve"> на всю сумму номинала </w:t>
      </w: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</w:t>
      </w:r>
      <w:r>
        <w:rPr>
          <w:rFonts w:ascii="Times New Roman" w:hAnsi="Times New Roman" w:cs="Times New Roman"/>
          <w:sz w:val="24"/>
          <w:szCs w:val="24"/>
        </w:rPr>
        <w:t xml:space="preserve">изымается у </w:t>
      </w:r>
      <w:r>
        <w:rPr>
          <w:rFonts w:ascii="Times New Roman" w:hAnsi="Times New Roman" w:cs="Times New Roman"/>
          <w:sz w:val="24"/>
          <w:szCs w:val="24"/>
        </w:rPr>
        <w:t xml:space="preserve">Владельца</w:t>
      </w:r>
      <w:r>
        <w:rPr>
          <w:rFonts w:ascii="Times New Roman" w:hAnsi="Times New Roman" w:cs="Times New Roman"/>
          <w:sz w:val="24"/>
          <w:szCs w:val="24"/>
        </w:rPr>
        <w:t xml:space="preserve"> и передается в бухгалтерию</w:t>
      </w:r>
      <w:r>
        <w:rPr>
          <w:rFonts w:ascii="Times New Roman" w:hAnsi="Times New Roman" w:cs="Times New Roman"/>
          <w:sz w:val="24"/>
          <w:szCs w:val="24"/>
        </w:rPr>
        <w:t xml:space="preserve"> Эмитента</w:t>
      </w:r>
      <w:r>
        <w:rPr>
          <w:rFonts w:ascii="Times New Roman" w:hAnsi="Times New Roman" w:cs="Times New Roman"/>
          <w:sz w:val="24"/>
          <w:szCs w:val="24"/>
        </w:rPr>
        <w:t xml:space="preserve"> с отчетом.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Подарочный сертификат имеет надпись названия юридического лица или надпись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ТОО 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Formelle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Kazakhstan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а также печать Эмитента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приобретения: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Подарочный с</w:t>
      </w:r>
      <w:r>
        <w:rPr>
          <w:rFonts w:ascii="Times New Roman" w:hAnsi="Times New Roman" w:cs="Times New Roman"/>
          <w:sz w:val="24"/>
          <w:szCs w:val="24"/>
        </w:rPr>
        <w:t xml:space="preserve">ертификат реализ</w:t>
      </w:r>
      <w:r>
        <w:rPr>
          <w:rFonts w:ascii="Times New Roman" w:hAnsi="Times New Roman" w:cs="Times New Roman"/>
          <w:sz w:val="24"/>
          <w:szCs w:val="24"/>
        </w:rPr>
        <w:t xml:space="preserve">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Эмитентом другому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 для </w:t>
      </w:r>
      <w:r>
        <w:rPr>
          <w:rFonts w:ascii="Times New Roman" w:hAnsi="Times New Roman" w:cs="Times New Roman"/>
          <w:sz w:val="24"/>
          <w:szCs w:val="24"/>
        </w:rPr>
        <w:t xml:space="preserve">передачи 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</w:t>
      </w:r>
      <w:r>
        <w:rPr>
          <w:rFonts w:ascii="Times New Roman" w:hAnsi="Times New Roman" w:cs="Times New Roman"/>
          <w:sz w:val="24"/>
          <w:szCs w:val="24"/>
        </w:rPr>
        <w:t xml:space="preserve">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сотрудникам Эмитентом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Подарочный сертификат действителен без чека.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использования: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сети Фирменных магазинов Подарочный сертификат подлежит</w:t>
      </w:r>
      <w:r>
        <w:rPr>
          <w:rFonts w:ascii="Times New Roman" w:hAnsi="Times New Roman" w:cs="Times New Roman"/>
          <w:sz w:val="24"/>
          <w:szCs w:val="24"/>
        </w:rPr>
        <w:t xml:space="preserve"> полному </w:t>
      </w:r>
      <w:r>
        <w:rPr>
          <w:rFonts w:ascii="Times New Roman" w:hAnsi="Times New Roman" w:cs="Times New Roman"/>
          <w:sz w:val="24"/>
          <w:szCs w:val="24"/>
        </w:rPr>
        <w:t xml:space="preserve">отовариванию</w:t>
      </w:r>
      <w:r>
        <w:rPr>
          <w:rFonts w:ascii="Times New Roman" w:hAnsi="Times New Roman" w:cs="Times New Roman"/>
          <w:sz w:val="24"/>
          <w:szCs w:val="24"/>
        </w:rPr>
        <w:t xml:space="preserve">. После полного </w:t>
      </w:r>
      <w:r>
        <w:rPr>
          <w:rFonts w:ascii="Times New Roman" w:hAnsi="Times New Roman" w:cs="Times New Roman"/>
          <w:sz w:val="24"/>
          <w:szCs w:val="24"/>
        </w:rPr>
        <w:t xml:space="preserve">отоваривания</w:t>
      </w:r>
      <w:r>
        <w:rPr>
          <w:rFonts w:ascii="Times New Roman" w:hAnsi="Times New Roman" w:cs="Times New Roman"/>
          <w:sz w:val="24"/>
          <w:szCs w:val="24"/>
        </w:rPr>
        <w:t xml:space="preserve"> на всю сумму номинала Подарочный сертификат изымается у Владельца и передается в бухгалтерию Эмитента с отчетом.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действителен в течение </w:t>
      </w:r>
      <w:r>
        <w:rPr>
          <w:rFonts w:ascii="Times New Roman" w:hAnsi="Times New Roman" w:cs="Times New Roman"/>
          <w:sz w:val="24"/>
          <w:szCs w:val="24"/>
        </w:rPr>
        <w:t xml:space="preserve">3 (трех) лет</w:t>
      </w:r>
      <w:r>
        <w:rPr>
          <w:rFonts w:ascii="Times New Roman" w:hAnsi="Times New Roman" w:cs="Times New Roman"/>
          <w:sz w:val="24"/>
          <w:szCs w:val="24"/>
        </w:rPr>
        <w:t xml:space="preserve"> с момента его приобретения (дата приобретения, указанная в Подарочном сертификате).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Подарочного сертификата подтверждает, что Приобретатель и Владелец Подарочного сертификата ознакомлены и согласны с условиями приобретения и пользования Подарочным сертификатом.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Приобретатель (Владелец) имеет право самостоятельно распоряжаться Подарочным сертификатом, в том числе передавать иному физическому лицу (новому Владельцу). С передачей Подарочного сертификата переходят все права по нему.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передачи Приобретателем (Владельцем) Подарочного сертификата новый Владелец становится его законным собственником и все права по такому Подарочному сертификату переходят от Приобретателя к новому Владельцу.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Приобретатель и Владелец обязуются ознакомить с условиями приобретения и пользования Подарочным сертификатом последующих Владельцев при передаче.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магазинов, в которых можно отоварить Подарочный сертификат, указаны на сайте Эмитента http://markformelle.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r>
        <w:rPr>
          <w:rFonts w:ascii="Times New Roman" w:hAnsi="Times New Roman" w:cs="Times New Roman"/>
          <w:sz w:val="24"/>
          <w:szCs w:val="24"/>
        </w:rPr>
        <w:t xml:space="preserve">Фирменных </w:t>
      </w:r>
      <w:r>
        <w:rPr>
          <w:rFonts w:ascii="Times New Roman" w:hAnsi="Times New Roman" w:cs="Times New Roman"/>
          <w:sz w:val="24"/>
          <w:szCs w:val="24"/>
        </w:rPr>
        <w:t xml:space="preserve">магазинов обязуются передать любому лицу, предъявившему Подарочный сертификат, вне зависимости от личности Владельца и оснований его получения, любой товар, имеющийся в наличии в магазине на момент предъявления Подарочного сертификата для его </w:t>
      </w:r>
      <w:r>
        <w:rPr>
          <w:rFonts w:ascii="Times New Roman" w:hAnsi="Times New Roman" w:cs="Times New Roman"/>
          <w:sz w:val="24"/>
          <w:szCs w:val="24"/>
        </w:rPr>
        <w:t xml:space="preserve">отоваривания</w:t>
      </w:r>
      <w:r>
        <w:rPr>
          <w:rFonts w:ascii="Times New Roman" w:hAnsi="Times New Roman" w:cs="Times New Roman"/>
          <w:sz w:val="24"/>
          <w:szCs w:val="24"/>
        </w:rPr>
        <w:t xml:space="preserve">, при соблюдении следующих условий: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суммарная стоимость выбранного товара меньше номинала Подарочного сертификата, разница Владельцу не выплачивается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суммарная стоимость выбранных товаров больше номинала Подарочного сертификата, разница доплачивается Владельцем. При покупке допускается суммирование номиналов нескольких Подарочных сертификатов.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_GoBack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В случае внесения </w:t>
      </w:r>
      <w:r>
        <w:rPr>
          <w:rFonts w:ascii="Times New Roman" w:hAnsi="Times New Roman" w:cs="Times New Roman"/>
          <w:sz w:val="24"/>
          <w:szCs w:val="24"/>
        </w:rPr>
        <w:t xml:space="preserve">Приобретателем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сумма</w:t>
      </w:r>
      <w:r>
        <w:rPr>
          <w:rFonts w:ascii="Times New Roman" w:hAnsi="Times New Roman" w:cs="Times New Roman"/>
          <w:sz w:val="24"/>
          <w:szCs w:val="24"/>
        </w:rPr>
        <w:t xml:space="preserve">, равная номинальной стоимости Подарочного сертификата,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предварительной оплатой за товар, подлежащий передаче в будущем Владельцу при предъявлении Подарочного сертификата</w:t>
      </w:r>
      <w:r>
        <w:rPr>
          <w:rFonts w:ascii="Times New Roman" w:hAnsi="Times New Roman" w:cs="Times New Roman"/>
          <w:sz w:val="24"/>
          <w:szCs w:val="24"/>
        </w:rPr>
        <w:t xml:space="preserve">, произведенной в момент внесения денежных средств. 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денежные средства за Подарочный сертификат Приобретателем не уплачивались, номинальная стоимость Подарочного сертификата равна сумме максимальной скидки, которую Эмитент обязуется предоставить в будущем при покупке Владельцем товара Эмитента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Гарантийное обслуживание, обмен и возврат товаров ненадлежащего качества, а также товаров надлежащего качества, приобретенных с использованием Подарочного сертификата, осуществляется в общем порядке, предусмотренном законодательством Республики </w:t>
      </w:r>
      <w:r>
        <w:rPr>
          <w:rFonts w:ascii="Times New Roman" w:hAnsi="Times New Roman" w:cs="Times New Roman"/>
          <w:sz w:val="24"/>
          <w:szCs w:val="24"/>
        </w:rPr>
        <w:t xml:space="preserve">Казахстан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Предусмотренное настоящим Положением право Владельца </w:t>
      </w:r>
      <w:r>
        <w:rPr>
          <w:rFonts w:ascii="Times New Roman" w:hAnsi="Times New Roman" w:cs="Times New Roman"/>
          <w:sz w:val="24"/>
          <w:szCs w:val="24"/>
        </w:rPr>
        <w:t xml:space="preserve">начинает действовать с момента получения Приобретателем Подарочного сертификата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является документом, подтверждающим право требования его Владельца. Подарочный сертификат не является товаром или ценной бумагой. Приобретатель или Владелец не</w:t>
      </w:r>
      <w:r>
        <w:rPr>
          <w:rFonts w:ascii="Times New Roman" w:hAnsi="Times New Roman" w:cs="Times New Roman"/>
          <w:sz w:val="24"/>
          <w:szCs w:val="24"/>
        </w:rPr>
        <w:t xml:space="preserve"> вправе возвратить</w:t>
      </w:r>
      <w:r>
        <w:rPr>
          <w:rFonts w:ascii="Times New Roman" w:hAnsi="Times New Roman" w:cs="Times New Roman"/>
          <w:sz w:val="24"/>
          <w:szCs w:val="24"/>
        </w:rPr>
        <w:t xml:space="preserve"> (обменять)</w:t>
      </w:r>
      <w:r>
        <w:rPr>
          <w:rFonts w:ascii="Times New Roman" w:hAnsi="Times New Roman" w:cs="Times New Roman"/>
          <w:sz w:val="24"/>
          <w:szCs w:val="24"/>
        </w:rPr>
        <w:t xml:space="preserve"> Подарочный </w:t>
      </w:r>
      <w:r>
        <w:rPr>
          <w:rFonts w:ascii="Times New Roman" w:hAnsi="Times New Roman" w:cs="Times New Roman"/>
          <w:sz w:val="24"/>
          <w:szCs w:val="24"/>
        </w:rPr>
        <w:t xml:space="preserve">сертификат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Приобретая Подарочный сертификат</w:t>
      </w:r>
      <w:r>
        <w:rPr>
          <w:rFonts w:ascii="Times New Roman" w:hAnsi="Times New Roman" w:cs="Times New Roman"/>
          <w:sz w:val="24"/>
          <w:szCs w:val="24"/>
        </w:rPr>
        <w:t xml:space="preserve"> или получая его от предыдущего Владельца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Приобретатель и/или Владелец</w:t>
      </w:r>
      <w:r>
        <w:rPr>
          <w:rFonts w:ascii="Times New Roman" w:hAnsi="Times New Roman" w:cs="Times New Roman"/>
          <w:sz w:val="24"/>
          <w:szCs w:val="24"/>
        </w:rPr>
        <w:t xml:space="preserve"> соглашается с условиями использования сертификата согласно настоящему Положению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утраты (потери, кражи) или</w:t>
      </w:r>
      <w:r>
        <w:rPr>
          <w:rFonts w:ascii="Times New Roman" w:hAnsi="Times New Roman" w:cs="Times New Roman"/>
          <w:sz w:val="24"/>
          <w:szCs w:val="24"/>
        </w:rPr>
        <w:t xml:space="preserve"> повреждения, которое не позволяет идентифицировать Подарочный сертификат по номинальной стоимости, а также не позволяет определить порядковый номер Подарочного сертификата, дату его выдачи, Подарочный сертификат не восстанавливается и к </w:t>
      </w:r>
      <w:r>
        <w:rPr>
          <w:rFonts w:ascii="Times New Roman" w:hAnsi="Times New Roman" w:cs="Times New Roman"/>
          <w:sz w:val="24"/>
          <w:szCs w:val="24"/>
        </w:rPr>
        <w:t xml:space="preserve">отовариванию</w:t>
      </w:r>
      <w:r>
        <w:rPr>
          <w:rFonts w:ascii="Times New Roman" w:hAnsi="Times New Roman" w:cs="Times New Roman"/>
          <w:sz w:val="24"/>
          <w:szCs w:val="24"/>
        </w:rPr>
        <w:t xml:space="preserve"> не принимается. Денежные средства в указанном случае возврату не подлежат.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в том числе на все Подарочные сертификаты, не отоваренные по состоянию на дату его утверждения.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5" w:hanging="70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paragraph" w:styleId="653">
    <w:name w:val="List Paragraph"/>
    <w:basedOn w:val="649"/>
    <w:uiPriority w:val="34"/>
    <w:qFormat/>
    <w:pPr>
      <w:contextualSpacing/>
      <w:ind w:left="720"/>
    </w:pPr>
  </w:style>
  <w:style w:type="character" w:styleId="654">
    <w:name w:val="annotation reference"/>
    <w:basedOn w:val="650"/>
    <w:uiPriority w:val="99"/>
    <w:semiHidden/>
    <w:unhideWhenUsed/>
    <w:rPr>
      <w:sz w:val="16"/>
      <w:szCs w:val="16"/>
    </w:rPr>
  </w:style>
  <w:style w:type="paragraph" w:styleId="655">
    <w:name w:val="annotation text"/>
    <w:basedOn w:val="649"/>
    <w:link w:val="6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6" w:customStyle="1">
    <w:name w:val="Текст примечания Знак"/>
    <w:basedOn w:val="650"/>
    <w:link w:val="655"/>
    <w:uiPriority w:val="99"/>
    <w:semiHidden/>
    <w:rPr>
      <w:sz w:val="20"/>
      <w:szCs w:val="20"/>
    </w:rPr>
  </w:style>
  <w:style w:type="paragraph" w:styleId="657">
    <w:name w:val="annotation subject"/>
    <w:basedOn w:val="655"/>
    <w:next w:val="655"/>
    <w:link w:val="658"/>
    <w:uiPriority w:val="99"/>
    <w:semiHidden/>
    <w:unhideWhenUsed/>
    <w:rPr>
      <w:b/>
      <w:bCs/>
    </w:rPr>
  </w:style>
  <w:style w:type="character" w:styleId="658" w:customStyle="1">
    <w:name w:val="Тема примечания Знак"/>
    <w:basedOn w:val="656"/>
    <w:link w:val="657"/>
    <w:uiPriority w:val="99"/>
    <w:semiHidden/>
    <w:rPr>
      <w:b/>
      <w:bCs/>
      <w:sz w:val="20"/>
      <w:szCs w:val="20"/>
    </w:rPr>
  </w:style>
  <w:style w:type="paragraph" w:styleId="659">
    <w:name w:val="Balloon Text"/>
    <w:basedOn w:val="649"/>
    <w:link w:val="6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0" w:customStyle="1">
    <w:name w:val="Текст выноски Знак"/>
    <w:basedOn w:val="650"/>
    <w:link w:val="65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Елена Геннадьевна</dc:creator>
  <cp:keywords/>
  <dc:description/>
  <cp:lastModifiedBy>Алесина Ольга Александровна</cp:lastModifiedBy>
  <cp:revision>3</cp:revision>
  <dcterms:created xsi:type="dcterms:W3CDTF">2024-10-14T06:48:00Z</dcterms:created>
  <dcterms:modified xsi:type="dcterms:W3CDTF">2024-10-24T10:20:00Z</dcterms:modified>
</cp:coreProperties>
</file>